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7A" w:rsidRPr="00335EF4" w:rsidRDefault="00BE417A" w:rsidP="00BE4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335EF4">
        <w:rPr>
          <w:rFonts w:ascii="Times New Roman" w:hAnsi="Times New Roman" w:cs="Times New Roman"/>
          <w:b/>
          <w:bCs/>
          <w:color w:val="000000"/>
          <w:sz w:val="36"/>
          <w:szCs w:val="36"/>
        </w:rPr>
        <w:t>Treatment Protocol</w:t>
      </w:r>
    </w:p>
    <w:p w:rsidR="00BE417A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417A" w:rsidRPr="00B72FA1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Never forget the four “S’s” of safety: safety of the person treating the cattle, safety of the people working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around the cattle, safety of the cattle, and safety of the beef products. Caution should be a focus 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all times, but especially when handling sharp instruments and needles, working with scouring cattle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(Salmonella can infect you and the cattle), and working around cattle with central nervous system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disease. Your feedyard veterinarian can review risks caused by sick or injured cattle and develop safety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measures to protect you and employees.</w:t>
      </w:r>
    </w:p>
    <w:p w:rsidR="00BE417A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417A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Treatment protocols should be developed for all common health issues. This includes infectious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diseases, lameness and digestive disorders. As many of the medications used in cattle require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prescription (Rx), ask the feedyard veterinarian to help develop treatment protocols. A treatment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protocol book can serve as use instructions for Rx medications prescribed by the feedyard veterinarian.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The FDA mandates that medication orders for Veterinary Feed Directives (VFD) will have an expiration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not longer than six months. Have the feedyard veterinarian review the treatment protocol at least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every six months. Antibiotic selection should consider the BQA “Producer’s Guide for Judicious Use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Antimicrobials in Cattle”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(see page 35 of the Feedyard Assessment Guide)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417A" w:rsidRPr="00B72FA1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417A" w:rsidRPr="00B72FA1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Health conditions to consider outlining treatment and/or management of include diseases or disorders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of the following body systems: respiratory, </w:t>
      </w:r>
      <w:proofErr w:type="spellStart"/>
      <w:r w:rsidRPr="00B72FA1">
        <w:rPr>
          <w:rFonts w:ascii="Times New Roman" w:hAnsi="Times New Roman" w:cs="Times New Roman"/>
          <w:color w:val="000000"/>
          <w:sz w:val="24"/>
          <w:szCs w:val="24"/>
        </w:rPr>
        <w:t>musculo</w:t>
      </w:r>
      <w:proofErr w:type="spellEnd"/>
      <w:r w:rsidRPr="00B72FA1">
        <w:rPr>
          <w:rFonts w:ascii="Times New Roman" w:hAnsi="Times New Roman" w:cs="Times New Roman"/>
          <w:color w:val="000000"/>
          <w:sz w:val="24"/>
          <w:szCs w:val="24"/>
        </w:rPr>
        <w:t>-skeletal, gastro-intestinal, eye-ear-skin, reproductive,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renal, and the central nervous system.</w:t>
      </w:r>
    </w:p>
    <w:p w:rsidR="00BE417A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E417A" w:rsidRDefault="00BE417A" w:rsidP="00BE4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35EF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0409F29" wp14:editId="2A26D418">
            <wp:extent cx="5600700" cy="28063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160" cy="284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17A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E417A" w:rsidRPr="00335EF4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35EF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Dealing with Non-performing Cattle</w:t>
      </w:r>
    </w:p>
    <w:p w:rsidR="00BE417A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Non-performing cattle might be a HIGH RISK for causing a </w:t>
      </w:r>
      <w:proofErr w:type="spellStart"/>
      <w:r w:rsidRPr="00B72FA1">
        <w:rPr>
          <w:rFonts w:ascii="Times New Roman" w:hAnsi="Times New Roman" w:cs="Times New Roman"/>
          <w:color w:val="000000"/>
          <w:sz w:val="24"/>
          <w:szCs w:val="24"/>
        </w:rPr>
        <w:t>violative</w:t>
      </w:r>
      <w:proofErr w:type="spellEnd"/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 residue problem. Non-performing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cattle should have records carefully reviewed by both the feedyard veterinarian and manager before being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released for salvage. Establish a minimum withdrawal (WD) time that reflects the longest WD for 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of the products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administered. Animals recovering from illness may have organ damage that interferes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with the normal clearing of medications. Marketing decisions should not be made solely on the results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of a pre-marketing residue screening test. Critical factors to avoid a </w:t>
      </w:r>
      <w:proofErr w:type="spellStart"/>
      <w:r w:rsidRPr="00B72FA1">
        <w:rPr>
          <w:rFonts w:ascii="Times New Roman" w:hAnsi="Times New Roman" w:cs="Times New Roman"/>
          <w:color w:val="000000"/>
          <w:sz w:val="24"/>
          <w:szCs w:val="24"/>
        </w:rPr>
        <w:t>violative</w:t>
      </w:r>
      <w:proofErr w:type="spellEnd"/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 residue include medication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selection, dosage, route of administration, volume per injection site and adherence to prescribed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withdrawal times.</w:t>
      </w:r>
    </w:p>
    <w:p w:rsidR="00BE417A" w:rsidRPr="00B72FA1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BE1" w:rsidRPr="00BE417A" w:rsidRDefault="00BE417A" w:rsidP="00BE4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In accordance with FDA regulations for use of prescription anim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 health products, a treatment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protocol must be written (hard copy or electronic) and signed by the feedyard veterinarian,</w:t>
      </w:r>
      <w:r w:rsidRPr="00335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A45BE1" w:rsidRPr="00BE417A" w:rsidSect="00BE41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7A"/>
    <w:rsid w:val="00A45BE1"/>
    <w:rsid w:val="00B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F16D1-755B-4C79-94AA-41091DBB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Bear</dc:creator>
  <cp:keywords/>
  <dc:description/>
  <cp:lastModifiedBy>Doug Bear</cp:lastModifiedBy>
  <cp:revision>1</cp:revision>
  <dcterms:created xsi:type="dcterms:W3CDTF">2017-03-17T13:16:00Z</dcterms:created>
  <dcterms:modified xsi:type="dcterms:W3CDTF">2017-03-17T13:16:00Z</dcterms:modified>
</cp:coreProperties>
</file>